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w:t>青岛市人工智能产业协会会员申请表</w:t>
      </w:r>
    </w:p>
    <w:tbl>
      <w:tblPr>
        <w:tblStyle w:val="2"/>
        <w:tblpPr w:leftFromText="180" w:rightFromText="180" w:vertAnchor="page" w:horzAnchor="page" w:tblpX="654" w:tblpY="2053"/>
        <w:tblOverlap w:val="never"/>
        <w:tblW w:w="1071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441"/>
        <w:gridCol w:w="891"/>
        <w:gridCol w:w="1432"/>
        <w:gridCol w:w="1378"/>
        <w:gridCol w:w="1513"/>
        <w:gridCol w:w="996"/>
        <w:gridCol w:w="15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64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7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764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9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9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国有 □集体 □私企 □股份制 □跨国公司 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外商独资 □中外合资 □其他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9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□计算机视觉  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机器学习  □智能驾驶  □智慧医疗  □智慧城市</w:t>
            </w:r>
          </w:p>
          <w:p>
            <w:pPr>
              <w:ind w:firstLine="440" w:firstLineChars="200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□智能语音   □智慧教育 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  □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9" w:type="dxa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是否上市公司</w:t>
            </w:r>
          </w:p>
        </w:tc>
        <w:tc>
          <w:tcPr>
            <w:tcW w:w="3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□否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上市地：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AI+领域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□基础层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技术层 □应用层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企业基本情况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8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人员总数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89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业额（万元）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上年度缴税（万元）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主要业务和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9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9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（可另附单位简介）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希望协会提供的服务</w:t>
            </w:r>
          </w:p>
        </w:tc>
        <w:tc>
          <w:tcPr>
            <w:tcW w:w="92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1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本单位自愿加入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青岛市人工智能产业协会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，遵守该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章程，履行会员义务，按时缴纳会费，特申请成为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会长单位  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副会长单位  □理事单位  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，并授权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（会员代表）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作为本单位代表行使单位权利和义务。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                 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1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协会审批意见：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600" w:firstLineChars="30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 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日期： 年  月   日                                                                                                                                                            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86116"/>
    <w:rsid w:val="63B817B3"/>
    <w:rsid w:val="6BC8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2021-03-25T06:02:00Z</dcterms:created>
  <dc:creator>李英杰</dc:creator>
  <cp:lastModifiedBy>李英杰</cp:lastModifiedBy>
  <dcterms:modified xsi:type="dcterms:W3CDTF">2021-03-25T06:16:41Z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